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inline distB="0" distT="0" distL="0" distR="0">
            <wp:extent cx="587375" cy="1049020"/>
            <wp:effectExtent b="0" l="0" r="0" t="0"/>
            <wp:docPr descr="A white flower with green leaves and black text&#10;&#10;AI-generated content may be incorrect." id="1" name="image1.png"/>
            <a:graphic>
              <a:graphicData uri="http://schemas.openxmlformats.org/drawingml/2006/picture">
                <pic:pic>
                  <pic:nvPicPr>
                    <pic:cNvPr descr="A white flower with green leaves and black text&#10;&#10;AI-generated content may be incorrect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1049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Executive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Previous mtg: Tuesday Feb 3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Agenda – Tuesday, March 10 </w:t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Prayer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Reading of the Minutes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Officer Reports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Unfinished Business 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SVCA Website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Block Captain Manual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Calendar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Block Captain Meeting Schedule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Pickleball lines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Locks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Electricity at the front Entrance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Reserve funds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Letter from the Treasurer 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New Business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repairs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management service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Membership for non-residents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Grant Opportunities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Yard Sale delay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Dues and dues structure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Announcements 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Adjournment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